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East of England</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East of England</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859441" cy="1883827"/>
            <wp:docPr id="1002" name="Picture 1580869515"/>
            <wp:cNvGraphicFramePr>
              <a:graphicFrameLocks noChangeAspect="1"/>
            </wp:cNvGraphicFramePr>
            <a:graphic>
              <a:graphicData uri="http://schemas.openxmlformats.org/drawingml/2006/picture">
                <pic:pic>
                  <pic:nvPicPr>
                    <pic:cNvPr id="0" name="East of England.png"/>
                    <pic:cNvPicPr/>
                  </pic:nvPicPr>
                  <pic:blipFill>
                    <a:blip r:embed="rId28"/>
                    <a:stretch>
                      <a:fillRect/>
                    </a:stretch>
                  </pic:blipFill>
                  <pic:spPr>
                    <a:xfrm>
                      <a:off x="0" y="0"/>
                      <a:ext cx="1859441" cy="1883827"/>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of England,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of England,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East of England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East of England is ranked </w:t>
      </w:r>
      <w:r w:rsidRPr="004141A5">
        <w:rPr>
          <w:rFonts w:ascii="Franklin Gothic Book" w:eastAsia="Times New Roman" w:hAnsi="Franklin Gothic Book" w:cs="Calibri Light"/>
          <w:b/>
          <w:bCs/>
          <w:color w:val="EF681C" w:themeColor="accent2"/>
          <w:sz w:val="22"/>
          <w:szCs w:val="22"/>
        </w:rPr>
        <w:t xml:space="preserve">8th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60.7%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2.3%</w:t>
      </w:r>
      <w:r w:rsidR="009E7905" w:rsidRPr="004141A5">
        <w:rPr>
          <w:rFonts w:ascii="Franklin Gothic Book" w:eastAsia="Times New Roman" w:hAnsi="Franklin Gothic Book" w:cs="Calibri Light"/>
          <w:sz w:val="22"/>
          <w:szCs w:val="22"/>
        </w:rPr>
        <w:t xml:space="preserve">) in the East of England</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9th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East of England (among those with a PGSI score of 8+) is </w:t>
      </w:r>
      <w:r w:rsidRPr="004141A5">
        <w:rPr>
          <w:rFonts w:ascii="Franklin Gothic Book" w:hAnsi="Franklin Gothic Book" w:cs="Calibri Light"/>
          <w:b/>
          <w:bCs/>
          <w:color w:val="EF681C" w:themeColor="accent2"/>
          <w:sz w:val="22"/>
          <w:szCs w:val="22"/>
        </w:rPr>
        <w:t xml:space="preserve">Not considering gambling a problem</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35.7%</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East of England.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East of England</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lower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8th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60.7%</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3,094,385</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East of England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East of England.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East of England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58.5%</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60.7%</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East of England.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East of England</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12.3%</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625,744</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East of England</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9th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second lowest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9th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East of England</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18182"/>
            <wp:docPr id="1006" name="Picture 1580869508"/>
            <wp:cNvGraphicFramePr>
              <a:graphicFrameLocks noChangeAspect="1"/>
            </wp:cNvGraphicFramePr>
            <a:graphic>
              <a:graphicData uri="http://schemas.openxmlformats.org/drawingml/2006/picture">
                <pic:pic>
                  <pic:nvPicPr>
                    <pic:cNvPr id="0" name="la_top_ten_East of England.png"/>
                    <pic:cNvPicPr/>
                  </pic:nvPicPr>
                  <pic:blipFill>
                    <a:blip r:embed="rId21"/>
                    <a:stretch>
                      <a:fillRect/>
                    </a:stretch>
                  </pic:blipFill>
                  <pic:spPr>
                    <a:xfrm>
                      <a:off x="0" y="0"/>
                      <a:ext cx="5400000" cy="2818182"/>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East of England</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Cambridge (21.8%).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6.7%</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young population in Cambridge (as evidence in Appendix A shows, those aged 18 - 34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Mid Suffolk (9.5%)</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East of England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East of England.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East of England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2.0%</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2.3%</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East of England</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7.2%</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6th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8.3%</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lowest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East of England.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East of England</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6.6%</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East of England</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6th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32.5%</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East of England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65.4%</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6th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East of England.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East of England</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8.1%</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4th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35.9%</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East of England</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61.9%</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Cambridge</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young population in Cambridge. Data shows, those aged 18 - 34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East of England</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East of England.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East of England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62.1%</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65.4%</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East of England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East of England.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East of England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53.1%</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61.9%</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East of England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East of England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East of England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51.9%*</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50.0%*</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35.7%*</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32.2%*</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28.4%*</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11.2%*</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5.9%*</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21.9%*</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14.2%*</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6.2%*</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21.6%*</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7.3%*</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21.5%*</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23.4%*</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East of England</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51.9%</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50.0%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35.7%</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15.1%</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East of England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East of England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East of England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28.1%*</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32.7%*</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48.0%*</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26.2%*</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49.2%*</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40.2%*</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26.4%*</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38.9%*</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24.6%*</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45.4%*</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East of England</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A relationship affected by gambling</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28.1%</w:t>
      </w:r>
      <w:r w:rsidR="00111031" w:rsidRPr="00001D81">
        <w:rPr>
          <w:rFonts w:ascii="Franklin Gothic Book" w:eastAsia="Times New Roman" w:hAnsi="Franklin Gothic Book" w:cs="Calibri Light"/>
          <w:szCs w:val="20"/>
          <w:lang w:eastAsia="en-GB"/>
        </w:rPr>
        <w:t xml:space="preserve">, compared to 12.3%</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49.2%</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29.1%</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48.0%</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East of England</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6.8%</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second lowest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East of England.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East of England</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East of England</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East of England</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£84,638,173</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East of England</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£1,378,617</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£28,510,573</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£2,042,396</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£574,423</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£1,053,110</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£51,079,051</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£84,638,173</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East of England</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48.6%</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51.4%</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34.9%</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43.3%</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48.8%</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48.0%</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8.0%</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5.4%</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5.0%</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1.7%</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1.5%</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16.3%</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8.6%</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3.3%</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1.5%</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21.9%</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25.3%</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31.8%</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50.0%</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33.1%</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38.5%</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30.4%</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51.6%</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55.4%</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8.1%</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8.1%</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4.8%</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4.8%</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1.3%</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6.7%</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2.4%</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0.0%</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East of England, with </w:t>
      </w:r>
      <w:r w:rsidR="005F35A7" w:rsidRPr="006E0C20">
        <w:rPr>
          <w:rFonts w:ascii="Franklin Gothic Book" w:hAnsi="Franklin Gothic Book" w:cs="Calibri Light"/>
          <w:b/>
          <w:bCs/>
          <w:color w:val="003777"/>
          <w:sz w:val="22"/>
          <w:szCs w:val="22"/>
        </w:rPr>
        <w:t xml:space="preserve">19.6%</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15.3% among those aged 35-54 and 6.1%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13.5%</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86.5%</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49.0%</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30.7%</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50.7%</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11.2%</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6.1%</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5.2%</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3.0%</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2.1%</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11.2%</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(20.3%),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2.1%</w:t>
      </w:r>
      <w:r w:rsidR="005F35A7" w:rsidRPr="006E0C20">
        <w:rPr>
          <w:rFonts w:ascii="Franklin Gothic Book" w:hAnsi="Franklin Gothic Book" w:cs="Calibri Light"/>
          <w:sz w:val="22"/>
          <w:szCs w:val="22"/>
        </w:rPr>
        <w:t xml:space="preserve">, compared with 3.9%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2.0%</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22.9%</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17.8%</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57.3%</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64.9%</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41.6%</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50.7%</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34.4%</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17.3%</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54.0%</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34.9%</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50.6%</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7.2%</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3.3%</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9.9%</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7.7%</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1.5%</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1.2%</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1.9%</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4.3%</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9.1%</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0.0%</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2.6%</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2.9%</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full-time students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9.1%</w:t>
      </w:r>
      <w:r w:rsidR="005F35A7" w:rsidRPr="006E0C20">
        <w:rPr>
          <w:rFonts w:ascii="Franklin Gothic Book" w:hAnsi="Franklin Gothic Book" w:cs="Calibri Light"/>
          <w:sz w:val="22"/>
          <w:szCs w:val="22"/>
        </w:rPr>
        <w:t xml:space="preserve">, compared with 2.9%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52.8%</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47.2%</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46.4%</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34.1%</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41.6%</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54.2%</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5.4%</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7.1%</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3.1%</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3.2%</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3.5%</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1.3%</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3.5%</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1.3%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49.7%</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42.8%</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7.6%</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35.8%</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40.1%</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46.8%</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50.2%</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50.7%</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38.3%</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8.2%</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9.2%</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2.8%</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2.6%</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3.9%</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3.1%</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1.6%</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1.7%</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East of England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East of England</w:t>
      </w:r>
      <w:r w:rsidR="004D2F15" w:rsidRPr="006E0C20">
        <w:rPr>
          <w:rFonts w:ascii="Franklin Gothic Book" w:hAnsi="Franklin Gothic Book" w:cs="Calibri Light"/>
          <w:sz w:val="22"/>
          <w:szCs w:val="22"/>
        </w:rPr>
        <w:t xml:space="preserve">, but </w:t>
      </w:r>
      <w:r w:rsidR="004D2F15" w:rsidRPr="006E0C20">
        <w:rPr>
          <w:rFonts w:ascii="Franklin Gothic Book" w:hAnsi="Franklin Gothic Book" w:cs="Calibri Light"/>
          <w:b/>
          <w:bCs/>
          <w:color w:val="003777"/>
          <w:sz w:val="22"/>
          <w:szCs w:val="22"/>
        </w:rPr>
        <w:t xml:space="preserve">less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1.7%</w:t>
      </w:r>
      <w:r w:rsidR="004D2F15" w:rsidRPr="006E0C20">
        <w:rPr>
          <w:rFonts w:ascii="Franklin Gothic Book" w:hAnsi="Franklin Gothic Book" w:cs="Calibri Light"/>
          <w:sz w:val="22"/>
          <w:szCs w:val="22"/>
        </w:rPr>
        <w:t xml:space="preserve"> compared with 3.1% among those of Christian faith and 1.6%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5DE8ABB8-74FA-4873-BBB6-CD9806D572D4}"/>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